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10/4.2-2026-0173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Verkehrswegebauarbeiten, Oberbauschichten ohne Bindemittel, Pflasterdecken und Plattenbeläge, Einfassungen, Landschaftsbauarbeiten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